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30"/>
          <w:szCs w:val="30"/>
        </w:rPr>
      </w:pPr>
      <w:bookmarkStart w:colFirst="0" w:colLast="0" w:name="_wx26f42t02cc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TISKOVÁ ZPRÁVA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1155cc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Apertia Tech s.r.o.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 Šlikova 2112/58, Praha 10, 100 00</w:t>
        <w:br w:type="textWrapping"/>
        <w:t xml:space="preserve"> Tel.: +420 772 727 746</w:t>
        <w:br w:type="textWrapping"/>
        <w:t xml:space="preserve"> E-mail: info@apertia.cz</w:t>
        <w:br w:type="textWrapping"/>
      </w:r>
      <w:hyperlink r:id="rId6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www.apertia.ai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28"/>
          <w:szCs w:val="28"/>
        </w:rPr>
      </w:pPr>
      <w:bookmarkStart w:colFirst="0" w:colLast="0" w:name="_75hs09kopb9f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NOVÁ ÉRA GENEROVÁNÍ A EDITACE OBRÁZKŮ S DŮRAZEM NA ETICKÉ VYUŽITÍ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Praha, 3. června 2025</w:t>
      </w:r>
      <w:r w:rsidDel="00000000" w:rsidR="00000000" w:rsidRPr="00000000">
        <w:rPr>
          <w:sz w:val="18"/>
          <w:szCs w:val="18"/>
          <w:rtl w:val="0"/>
        </w:rPr>
        <w:t xml:space="preserve"> – Společnost Apertia Tech, přední český integrátor AI technologií, dnes představuje českému trhu převratnou technologii v oblasti umělé inteligence – FLUX.1 Kontext od společnosti Black Forest Labs. Tato inovace představuje zásadní kvalitativní posun v možnostech generování a editace digitálního vizuálního obsahu.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j4a98p6jd8qp" w:id="2"/>
      <w:bookmarkEnd w:id="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Technologický průlom v práci s digitálními obrázky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FLUX.1 Kontext přináší fundamentálně nové možnosti v oblasti manipulace s digitálními obrázky. Uživatelé mohou požadovat odstranění objektů z fotografie, změnu prostředí nebo realizovat iterativní úpravy navazující na předchozí modifikace.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„Jako IT architekt a AI propagátor sleduji vývoj generativní AI již několik let. FLUX.1 Kontext představuje skutečný průlom v tom, jak přirozeně a intuitivně lze nyní pracovat s vizuálním obsahem. Pro marketingová oddělení, e-commerce nebo kreativní agentury jde o nástroj, který může zásadně zefektivnit jejich práci,"</w:t>
      </w:r>
      <w:r w:rsidDel="00000000" w:rsidR="00000000" w:rsidRPr="00000000">
        <w:rPr>
          <w:sz w:val="18"/>
          <w:szCs w:val="18"/>
          <w:rtl w:val="0"/>
        </w:rPr>
        <w:t xml:space="preserve"> hodnotí David Strejc, IT architekt a AI propagátor společnosti Apertia Tech.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ozew2dkjpaix" w:id="3"/>
      <w:bookmarkEnd w:id="3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Výzva k odpovědnému technologickému využití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Strejc upozorňuje na nutnost etického přístupu k implementaci technologie: </w:t>
      </w:r>
      <w:r w:rsidDel="00000000" w:rsidR="00000000" w:rsidRPr="00000000">
        <w:rPr>
          <w:i w:val="1"/>
          <w:sz w:val="18"/>
          <w:szCs w:val="18"/>
          <w:rtl w:val="0"/>
        </w:rPr>
        <w:t xml:space="preserve">„Musíme si být vědomi, že s mocnými nástroji přichází i velká odpovědnost. Technologie, která dokáže tak přesvědčivě upravovat realitu, může být bohužel i zneužita. Proto v Apertia Tech klademe důraz na etické využití AI a vzdělávání našich klientů v oblasti odpovědného nasazení těchto technologií."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jtvl2l9228bs" w:id="4"/>
      <w:bookmarkEnd w:id="4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Komplexní přístup k AI integraci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Společnost Apertia Tech se dlouhodobě specializuje na integraci nejmodernějších AI technologií do českého podnikatelského prostředí s důrazem na odpovědnou implementaci.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„Naším cílem není pouze implementovat nové technologie, ale především pomáhat firmám pochopit jejich potenciál a naučit se je využívat odpovědně a efektivně. Technologie sama o sobě není cíl – cílem je její přínosné využití pro společnost,"</w:t>
      </w:r>
      <w:r w:rsidDel="00000000" w:rsidR="00000000" w:rsidRPr="00000000">
        <w:rPr>
          <w:sz w:val="18"/>
          <w:szCs w:val="18"/>
          <w:rtl w:val="0"/>
        </w:rPr>
        <w:t xml:space="preserve"> uzavírает David Strejc.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pertia.ai" TargetMode="External"/><Relationship Id="rId7" Type="http://schemas.openxmlformats.org/officeDocument/2006/relationships/hyperlink" Target="http://www.apertia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