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30"/>
          <w:szCs w:val="30"/>
        </w:rPr>
      </w:pPr>
      <w:bookmarkStart w:colFirst="0" w:colLast="0" w:name="_o9rztq81kc6l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Apertia Tech s.r.o.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Šlikova 2112/58, Praha 10, 100 00</w:t>
        <w:br w:type="textWrapping"/>
        <w:t xml:space="preserve"> Tel.: +420 772 727 746</w:t>
        <w:br w:type="textWrapping"/>
        <w:t xml:space="preserve"> E-mail: info@apertia.cz</w:t>
        <w:br w:type="textWrapping"/>
      </w:r>
      <w:hyperlink r:id="rId6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www.apertia.ai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26"/>
          <w:szCs w:val="26"/>
        </w:rPr>
      </w:pPr>
      <w:bookmarkStart w:colFirst="0" w:colLast="0" w:name="_x2088q8d1bq3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UMĚLÁ INTELIGENCE MĚNÍ TRH PRÁCE A SPOLEČNOST RYCHLEJI, NEŽ SI UVĚDOMUJEME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hddkrjhga3u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Expert varuje: Do roku 2030 může projít hlubokou proměnou až polovina stávajících pracovních pozic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Praha, 7. května 2025</w:t>
      </w:r>
      <w:r w:rsidDel="00000000" w:rsidR="00000000" w:rsidRPr="00000000">
        <w:rPr>
          <w:sz w:val="18"/>
          <w:szCs w:val="18"/>
          <w:rtl w:val="0"/>
        </w:rPr>
        <w:t xml:space="preserve"> – Vývoj umělé inteligence nabírá tempo, které zásadně předbíhá schopnost firem, vzdělávacích institucí i státu adekvátně reagovat. Podle nejnovějších odhadů může do roku 2030 projít fundamentální transformací až polovina stávajících pracovních pozic, přičemž nástup generativních modelů a budoucích systémů obecné umělé inteligence (AGI) tento proces ještě více urychlí.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„AI již není otázkou budoucnosti – je realitou dneška. Firmy, které zaváhají s modernizací a reskillingem, riskují ztrátu konkurenceschopnosti i pracovních míst,"</w:t>
      </w:r>
      <w:r w:rsidDel="00000000" w:rsidR="00000000" w:rsidRPr="00000000">
        <w:rPr>
          <w:sz w:val="18"/>
          <w:szCs w:val="18"/>
          <w:rtl w:val="0"/>
        </w:rPr>
        <w:t xml:space="preserve"> upozorňuje </w:t>
      </w:r>
      <w:r w:rsidDel="00000000" w:rsidR="00000000" w:rsidRPr="00000000">
        <w:rPr>
          <w:b w:val="1"/>
          <w:sz w:val="18"/>
          <w:szCs w:val="18"/>
          <w:rtl w:val="0"/>
        </w:rPr>
        <w:t xml:space="preserve">David Strejc</w:t>
      </w:r>
      <w:r w:rsidDel="00000000" w:rsidR="00000000" w:rsidRPr="00000000">
        <w:rPr>
          <w:sz w:val="18"/>
          <w:szCs w:val="18"/>
          <w:rtl w:val="0"/>
        </w:rPr>
        <w:t xml:space="preserve">, IT architekt a AI expert společnosti Apertia Tech.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lz5g0nwwwab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Investiční a technologické trendy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Soukromé investice do AI ve Spojených státech loni přesáhly 100 miliard dolarů a nadále rychle rostou. Nové generace čipů umožňují trénink modelů o stovkách miliard parametrů, avšak náklady na nejvýkonnější systémy stoupají k desítkám až stovkám milionů dolarů.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qg76pdnx49m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Příležitosti versus rizika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„Umělá inteligence otevírá nebývalé možnosti v oblasti produktivity, zdravotnictví či vědy, ale zároveň představuje vážnou výzvu pro trh práce a sociální soudržnost. Klíčové bude, zda dokážeme investovat do lidského kapitálu a nastavit pravidla, která umožní využít potenciál AI ve prospěch celé společnosti,"</w:t>
      </w:r>
      <w:r w:rsidDel="00000000" w:rsidR="00000000" w:rsidRPr="00000000">
        <w:rPr>
          <w:sz w:val="18"/>
          <w:szCs w:val="18"/>
          <w:rtl w:val="0"/>
        </w:rPr>
        <w:t xml:space="preserve"> hodnotí situaci Strejc.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l3sfy9gghhp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Kontakt pro média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wx8ttnew0yyj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Kontakt pro média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Klára Davidová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Marketing a PR specialist</w:t>
        <w:br w:type="textWrapping"/>
        <w:t xml:space="preserve">Apertia Tech s.r.o.</w:t>
        <w:br w:type="textWrapping"/>
        <w:t xml:space="preserve">E-mail: klara.davidova@autoerp.cz</w:t>
        <w:br w:type="textWrapping"/>
        <w:t xml:space="preserve">Web:</w:t>
      </w:r>
      <w:hyperlink r:id="rId8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www.apertia.ai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pertia.ai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apertia.ai" TargetMode="External"/><Relationship Id="rId7" Type="http://schemas.openxmlformats.org/officeDocument/2006/relationships/hyperlink" Target="http://www.apertia.ai" TargetMode="External"/><Relationship Id="rId8" Type="http://schemas.openxmlformats.org/officeDocument/2006/relationships/hyperlink" Target="http://www.apertia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